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C22" w:rsidRPr="0014581A" w:rsidRDefault="008F4C22" w:rsidP="008F4C22">
      <w:pPr>
        <w:pStyle w:val="AppendixStyle"/>
        <w:ind w:left="360"/>
      </w:pPr>
      <w:bookmarkStart w:id="0" w:name="_Toc59540363"/>
      <w:bookmarkStart w:id="1" w:name="_GoBack"/>
      <w:bookmarkEnd w:id="1"/>
      <w:r w:rsidRPr="0014581A">
        <w:t>B1</w:t>
      </w:r>
      <w:r>
        <w:t xml:space="preserve">0: </w:t>
      </w:r>
      <w:r w:rsidRPr="0014581A">
        <w:t>Notice to Remove Attachment</w:t>
      </w:r>
      <w:bookmarkEnd w:id="0"/>
    </w:p>
    <w:p w:rsidR="008F4C22" w:rsidRPr="0014581A" w:rsidRDefault="008F4C22" w:rsidP="008F4C22">
      <w:pPr>
        <w:ind w:firstLine="720"/>
        <w:rPr>
          <w:b/>
          <w:bCs/>
          <w:sz w:val="28"/>
          <w:szCs w:val="28"/>
        </w:rPr>
      </w:pPr>
      <w:r w:rsidRPr="0014581A">
        <w:rPr>
          <w:b/>
          <w:bCs/>
          <w:sz w:val="28"/>
          <w:szCs w:val="28"/>
        </w:rPr>
        <w:t>Notice to Remove Attachment</w:t>
      </w:r>
    </w:p>
    <w:p w:rsidR="008F4C22" w:rsidRDefault="008F4C22" w:rsidP="008F4C22">
      <w:pPr>
        <w:pStyle w:val="BodyText"/>
        <w:spacing w:before="3" w:after="1"/>
        <w:jc w:val="left"/>
        <w:rPr>
          <w:b/>
          <w:i/>
          <w:sz w:val="12"/>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2808"/>
        <w:gridCol w:w="1635"/>
        <w:gridCol w:w="2489"/>
      </w:tblGrid>
      <w:tr w:rsidR="008F4C22" w:rsidTr="008F4C22">
        <w:trPr>
          <w:trHeight w:val="827"/>
        </w:trPr>
        <w:tc>
          <w:tcPr>
            <w:tcW w:w="2177" w:type="dxa"/>
            <w:shd w:val="clear" w:color="auto" w:fill="365F91"/>
          </w:tcPr>
          <w:p w:rsidR="008F4C22" w:rsidRDefault="008F4C22" w:rsidP="006872CE">
            <w:pPr>
              <w:pStyle w:val="TableParagraph"/>
              <w:spacing w:line="274" w:lineRule="exact"/>
              <w:ind w:left="107"/>
              <w:rPr>
                <w:sz w:val="24"/>
              </w:rPr>
            </w:pPr>
            <w:r>
              <w:rPr>
                <w:color w:val="FFFFFF"/>
                <w:sz w:val="24"/>
              </w:rPr>
              <w:t>Project</w:t>
            </w:r>
          </w:p>
          <w:p w:rsidR="008F4C22" w:rsidRDefault="008F4C22" w:rsidP="006872CE">
            <w:pPr>
              <w:pStyle w:val="TableParagraph"/>
              <w:spacing w:before="137"/>
              <w:ind w:left="107"/>
              <w:rPr>
                <w:sz w:val="24"/>
              </w:rPr>
            </w:pPr>
            <w:r>
              <w:rPr>
                <w:color w:val="FFFFFF"/>
                <w:sz w:val="24"/>
              </w:rPr>
              <w:t>Name:</w:t>
            </w:r>
          </w:p>
        </w:tc>
        <w:tc>
          <w:tcPr>
            <w:tcW w:w="2808" w:type="dxa"/>
          </w:tcPr>
          <w:p w:rsidR="008F4C22" w:rsidRDefault="008F4C22" w:rsidP="006872CE">
            <w:pPr>
              <w:pStyle w:val="TableParagraph"/>
              <w:rPr>
                <w:rFonts w:ascii="Times New Roman"/>
                <w:sz w:val="18"/>
              </w:rPr>
            </w:pPr>
          </w:p>
        </w:tc>
        <w:tc>
          <w:tcPr>
            <w:tcW w:w="1635" w:type="dxa"/>
            <w:shd w:val="clear" w:color="auto" w:fill="365F91"/>
          </w:tcPr>
          <w:p w:rsidR="008F4C22" w:rsidRDefault="008F4C22" w:rsidP="006872CE">
            <w:pPr>
              <w:pStyle w:val="TableParagraph"/>
              <w:spacing w:line="206" w:lineRule="exact"/>
              <w:ind w:left="108"/>
              <w:rPr>
                <w:sz w:val="18"/>
              </w:rPr>
            </w:pPr>
            <w:r>
              <w:rPr>
                <w:color w:val="FFFFFF"/>
                <w:sz w:val="18"/>
              </w:rPr>
              <w:t>Date:</w:t>
            </w:r>
          </w:p>
        </w:tc>
        <w:tc>
          <w:tcPr>
            <w:tcW w:w="2489" w:type="dxa"/>
          </w:tcPr>
          <w:p w:rsidR="008F4C22" w:rsidRDefault="008F4C22" w:rsidP="006872CE">
            <w:pPr>
              <w:pStyle w:val="TableParagraph"/>
              <w:rPr>
                <w:rFonts w:ascii="Times New Roman"/>
                <w:sz w:val="18"/>
              </w:rPr>
            </w:pPr>
          </w:p>
        </w:tc>
      </w:tr>
      <w:tr w:rsidR="008F4C22" w:rsidTr="008F4C22">
        <w:trPr>
          <w:trHeight w:val="827"/>
        </w:trPr>
        <w:tc>
          <w:tcPr>
            <w:tcW w:w="2177" w:type="dxa"/>
            <w:shd w:val="clear" w:color="auto" w:fill="365F91"/>
          </w:tcPr>
          <w:p w:rsidR="008F4C22" w:rsidRDefault="008F4C22" w:rsidP="006872CE">
            <w:pPr>
              <w:pStyle w:val="TableParagraph"/>
              <w:spacing w:line="274" w:lineRule="exact"/>
              <w:ind w:left="107"/>
              <w:rPr>
                <w:sz w:val="24"/>
              </w:rPr>
            </w:pPr>
            <w:r>
              <w:rPr>
                <w:color w:val="FFFFFF"/>
                <w:sz w:val="24"/>
              </w:rPr>
              <w:t>Attaching</w:t>
            </w:r>
          </w:p>
          <w:p w:rsidR="008F4C22" w:rsidRDefault="008F4C22" w:rsidP="006872CE">
            <w:pPr>
              <w:pStyle w:val="TableParagraph"/>
              <w:spacing w:before="137"/>
              <w:ind w:left="107"/>
              <w:rPr>
                <w:sz w:val="24"/>
              </w:rPr>
            </w:pPr>
            <w:r>
              <w:rPr>
                <w:color w:val="FFFFFF"/>
                <w:sz w:val="24"/>
              </w:rPr>
              <w:t>Entity</w:t>
            </w:r>
          </w:p>
        </w:tc>
        <w:tc>
          <w:tcPr>
            <w:tcW w:w="6932" w:type="dxa"/>
            <w:gridSpan w:val="3"/>
          </w:tcPr>
          <w:p w:rsidR="008F4C22" w:rsidRDefault="008F4C22" w:rsidP="006872CE">
            <w:pPr>
              <w:pStyle w:val="TableParagraph"/>
              <w:rPr>
                <w:rFonts w:ascii="Times New Roman"/>
                <w:sz w:val="18"/>
              </w:rPr>
            </w:pPr>
          </w:p>
        </w:tc>
      </w:tr>
      <w:tr w:rsidR="008F4C22" w:rsidTr="008F4C22">
        <w:trPr>
          <w:trHeight w:val="827"/>
        </w:trPr>
        <w:tc>
          <w:tcPr>
            <w:tcW w:w="2177" w:type="dxa"/>
            <w:shd w:val="clear" w:color="auto" w:fill="365F91"/>
          </w:tcPr>
          <w:p w:rsidR="008F4C22" w:rsidRDefault="008F4C22" w:rsidP="006872CE">
            <w:pPr>
              <w:pStyle w:val="TableParagraph"/>
              <w:spacing w:line="274" w:lineRule="exact"/>
              <w:ind w:left="107"/>
              <w:rPr>
                <w:sz w:val="24"/>
              </w:rPr>
            </w:pPr>
            <w:r>
              <w:rPr>
                <w:color w:val="FFFFFF"/>
                <w:sz w:val="24"/>
              </w:rPr>
              <w:t>Contact</w:t>
            </w:r>
          </w:p>
          <w:p w:rsidR="008F4C22" w:rsidRDefault="008F4C22" w:rsidP="006872CE">
            <w:pPr>
              <w:pStyle w:val="TableParagraph"/>
              <w:spacing w:before="139"/>
              <w:ind w:left="107"/>
              <w:rPr>
                <w:sz w:val="24"/>
              </w:rPr>
            </w:pPr>
            <w:r>
              <w:rPr>
                <w:color w:val="FFFFFF"/>
                <w:sz w:val="24"/>
              </w:rPr>
              <w:t>Person</w:t>
            </w:r>
          </w:p>
        </w:tc>
        <w:tc>
          <w:tcPr>
            <w:tcW w:w="6932" w:type="dxa"/>
            <w:gridSpan w:val="3"/>
          </w:tcPr>
          <w:p w:rsidR="008F4C22" w:rsidRDefault="008F4C22" w:rsidP="006872CE">
            <w:pPr>
              <w:pStyle w:val="TableParagraph"/>
              <w:rPr>
                <w:rFonts w:ascii="Times New Roman"/>
                <w:sz w:val="18"/>
              </w:rPr>
            </w:pPr>
          </w:p>
        </w:tc>
      </w:tr>
      <w:tr w:rsidR="008F4C22" w:rsidTr="008F4C22">
        <w:trPr>
          <w:trHeight w:val="414"/>
        </w:trPr>
        <w:tc>
          <w:tcPr>
            <w:tcW w:w="2177" w:type="dxa"/>
            <w:shd w:val="clear" w:color="auto" w:fill="365F91"/>
          </w:tcPr>
          <w:p w:rsidR="008F4C22" w:rsidRDefault="008F4C22" w:rsidP="006872CE">
            <w:pPr>
              <w:pStyle w:val="TableParagraph"/>
              <w:spacing w:line="274" w:lineRule="exact"/>
              <w:ind w:left="107"/>
              <w:rPr>
                <w:sz w:val="24"/>
              </w:rPr>
            </w:pPr>
            <w:r>
              <w:rPr>
                <w:color w:val="FFFFFF"/>
                <w:sz w:val="24"/>
              </w:rPr>
              <w:t>Address</w:t>
            </w:r>
          </w:p>
        </w:tc>
        <w:tc>
          <w:tcPr>
            <w:tcW w:w="6932" w:type="dxa"/>
            <w:gridSpan w:val="3"/>
          </w:tcPr>
          <w:p w:rsidR="008F4C22" w:rsidRDefault="008F4C22" w:rsidP="006872CE">
            <w:pPr>
              <w:pStyle w:val="TableParagraph"/>
              <w:rPr>
                <w:rFonts w:ascii="Times New Roman"/>
                <w:sz w:val="18"/>
              </w:rPr>
            </w:pPr>
          </w:p>
        </w:tc>
      </w:tr>
      <w:tr w:rsidR="008F4C22" w:rsidTr="008F4C22">
        <w:trPr>
          <w:trHeight w:val="413"/>
        </w:trPr>
        <w:tc>
          <w:tcPr>
            <w:tcW w:w="2177" w:type="dxa"/>
            <w:shd w:val="clear" w:color="auto" w:fill="365F91"/>
          </w:tcPr>
          <w:p w:rsidR="008F4C22" w:rsidRDefault="008F4C22" w:rsidP="006872CE">
            <w:pPr>
              <w:pStyle w:val="TableParagraph"/>
              <w:spacing w:line="274" w:lineRule="exact"/>
              <w:ind w:left="107"/>
              <w:rPr>
                <w:sz w:val="24"/>
              </w:rPr>
            </w:pPr>
            <w:r>
              <w:rPr>
                <w:color w:val="FFFFFF"/>
                <w:sz w:val="24"/>
              </w:rPr>
              <w:t>Phone</w:t>
            </w:r>
          </w:p>
        </w:tc>
        <w:tc>
          <w:tcPr>
            <w:tcW w:w="6932" w:type="dxa"/>
            <w:gridSpan w:val="3"/>
          </w:tcPr>
          <w:p w:rsidR="008F4C22" w:rsidRDefault="008F4C22" w:rsidP="006872CE">
            <w:pPr>
              <w:pStyle w:val="TableParagraph"/>
              <w:rPr>
                <w:rFonts w:ascii="Times New Roman"/>
                <w:sz w:val="18"/>
              </w:rPr>
            </w:pPr>
          </w:p>
        </w:tc>
      </w:tr>
      <w:tr w:rsidR="008F4C22" w:rsidTr="008F4C22">
        <w:trPr>
          <w:trHeight w:val="414"/>
        </w:trPr>
        <w:tc>
          <w:tcPr>
            <w:tcW w:w="2177" w:type="dxa"/>
            <w:shd w:val="clear" w:color="auto" w:fill="365F91"/>
          </w:tcPr>
          <w:p w:rsidR="008F4C22" w:rsidRDefault="008F4C22" w:rsidP="006872CE">
            <w:pPr>
              <w:pStyle w:val="TableParagraph"/>
              <w:spacing w:line="274" w:lineRule="exact"/>
              <w:ind w:left="107"/>
              <w:rPr>
                <w:sz w:val="24"/>
              </w:rPr>
            </w:pPr>
            <w:r>
              <w:rPr>
                <w:color w:val="FFFFFF"/>
                <w:sz w:val="24"/>
              </w:rPr>
              <w:t>Email</w:t>
            </w:r>
          </w:p>
        </w:tc>
        <w:tc>
          <w:tcPr>
            <w:tcW w:w="6932" w:type="dxa"/>
            <w:gridSpan w:val="3"/>
          </w:tcPr>
          <w:p w:rsidR="008F4C22" w:rsidRDefault="008F4C22" w:rsidP="006872CE">
            <w:pPr>
              <w:pStyle w:val="TableParagraph"/>
              <w:rPr>
                <w:rFonts w:ascii="Times New Roman"/>
                <w:sz w:val="18"/>
              </w:rPr>
            </w:pPr>
          </w:p>
        </w:tc>
      </w:tr>
    </w:tbl>
    <w:p w:rsidR="008F4C22" w:rsidRDefault="008F4C22" w:rsidP="008F4C22">
      <w:pPr>
        <w:spacing w:line="360" w:lineRule="auto"/>
        <w:ind w:left="630" w:right="-378"/>
        <w:jc w:val="both"/>
        <w:rPr>
          <w:sz w:val="18"/>
        </w:rPr>
      </w:pPr>
    </w:p>
    <w:p w:rsidR="008F4C22" w:rsidRDefault="008F4C22" w:rsidP="008F4C22">
      <w:pPr>
        <w:spacing w:line="360" w:lineRule="auto"/>
        <w:ind w:left="630" w:right="-378"/>
        <w:jc w:val="both"/>
        <w:rPr>
          <w:sz w:val="18"/>
        </w:rPr>
      </w:pPr>
      <w:r>
        <w:rPr>
          <w:sz w:val="18"/>
        </w:rPr>
        <w:t>Pursuant</w:t>
      </w:r>
      <w:r>
        <w:rPr>
          <w:spacing w:val="-10"/>
          <w:sz w:val="18"/>
        </w:rPr>
        <w:t xml:space="preserve"> </w:t>
      </w:r>
      <w:r>
        <w:rPr>
          <w:sz w:val="18"/>
        </w:rPr>
        <w:t>to</w:t>
      </w:r>
      <w:r>
        <w:rPr>
          <w:spacing w:val="-9"/>
          <w:sz w:val="18"/>
        </w:rPr>
        <w:t xml:space="preserve"> </w:t>
      </w:r>
      <w:r>
        <w:rPr>
          <w:sz w:val="18"/>
        </w:rPr>
        <w:t>the</w:t>
      </w:r>
      <w:r>
        <w:rPr>
          <w:spacing w:val="-10"/>
          <w:sz w:val="18"/>
        </w:rPr>
        <w:t xml:space="preserve"> </w:t>
      </w:r>
      <w:r>
        <w:rPr>
          <w:sz w:val="18"/>
        </w:rPr>
        <w:t>PEC</w:t>
      </w:r>
      <w:r>
        <w:rPr>
          <w:spacing w:val="-10"/>
          <w:sz w:val="18"/>
        </w:rPr>
        <w:t xml:space="preserve"> </w:t>
      </w:r>
      <w:r>
        <w:rPr>
          <w:sz w:val="18"/>
        </w:rPr>
        <w:t>Pole</w:t>
      </w:r>
      <w:r>
        <w:rPr>
          <w:spacing w:val="-14"/>
          <w:sz w:val="18"/>
        </w:rPr>
        <w:t xml:space="preserve"> </w:t>
      </w:r>
      <w:r>
        <w:rPr>
          <w:sz w:val="18"/>
        </w:rPr>
        <w:t>Attachment</w:t>
      </w:r>
      <w:r>
        <w:rPr>
          <w:spacing w:val="-9"/>
          <w:sz w:val="18"/>
        </w:rPr>
        <w:t xml:space="preserve"> </w:t>
      </w:r>
      <w:r>
        <w:rPr>
          <w:sz w:val="18"/>
        </w:rPr>
        <w:t>Standards,</w:t>
      </w:r>
      <w:r>
        <w:rPr>
          <w:spacing w:val="-11"/>
          <w:sz w:val="18"/>
        </w:rPr>
        <w:t xml:space="preserve"> </w:t>
      </w:r>
      <w:r>
        <w:rPr>
          <w:sz w:val="18"/>
        </w:rPr>
        <w:t>PEC</w:t>
      </w:r>
      <w:r>
        <w:rPr>
          <w:spacing w:val="-11"/>
          <w:sz w:val="18"/>
        </w:rPr>
        <w:t xml:space="preserve"> </w:t>
      </w:r>
      <w:r>
        <w:rPr>
          <w:sz w:val="18"/>
        </w:rPr>
        <w:t>must</w:t>
      </w:r>
      <w:r>
        <w:rPr>
          <w:spacing w:val="-9"/>
          <w:sz w:val="18"/>
        </w:rPr>
        <w:t xml:space="preserve"> </w:t>
      </w:r>
      <w:r>
        <w:rPr>
          <w:sz w:val="18"/>
        </w:rPr>
        <w:t>relocate</w:t>
      </w:r>
      <w:r>
        <w:rPr>
          <w:spacing w:val="-12"/>
          <w:sz w:val="18"/>
        </w:rPr>
        <w:t xml:space="preserve"> </w:t>
      </w:r>
      <w:r>
        <w:rPr>
          <w:sz w:val="18"/>
        </w:rPr>
        <w:t>facilities</w:t>
      </w:r>
      <w:r>
        <w:rPr>
          <w:spacing w:val="-11"/>
          <w:sz w:val="18"/>
        </w:rPr>
        <w:t xml:space="preserve"> </w:t>
      </w:r>
      <w:r>
        <w:rPr>
          <w:sz w:val="18"/>
        </w:rPr>
        <w:t>per</w:t>
      </w:r>
      <w:r>
        <w:rPr>
          <w:spacing w:val="-9"/>
          <w:sz w:val="18"/>
        </w:rPr>
        <w:t xml:space="preserve"> </w:t>
      </w:r>
      <w:r>
        <w:rPr>
          <w:sz w:val="18"/>
        </w:rPr>
        <w:t>Civic</w:t>
      </w:r>
      <w:r>
        <w:rPr>
          <w:spacing w:val="-12"/>
          <w:sz w:val="18"/>
        </w:rPr>
        <w:t xml:space="preserve"> </w:t>
      </w:r>
      <w:r>
        <w:rPr>
          <w:sz w:val="18"/>
        </w:rPr>
        <w:t>Project,</w:t>
      </w:r>
      <w:r>
        <w:rPr>
          <w:spacing w:val="-9"/>
          <w:sz w:val="18"/>
        </w:rPr>
        <w:t xml:space="preserve"> </w:t>
      </w:r>
      <w:r>
        <w:rPr>
          <w:sz w:val="18"/>
        </w:rPr>
        <w:t>Member</w:t>
      </w:r>
      <w:r>
        <w:rPr>
          <w:spacing w:val="-10"/>
          <w:sz w:val="18"/>
        </w:rPr>
        <w:t xml:space="preserve"> </w:t>
      </w:r>
      <w:r>
        <w:rPr>
          <w:sz w:val="18"/>
        </w:rPr>
        <w:t>request, LCRA,</w:t>
      </w:r>
      <w:r>
        <w:rPr>
          <w:spacing w:val="-9"/>
          <w:sz w:val="18"/>
        </w:rPr>
        <w:t xml:space="preserve"> </w:t>
      </w:r>
      <w:proofErr w:type="spellStart"/>
      <w:r>
        <w:rPr>
          <w:sz w:val="18"/>
        </w:rPr>
        <w:t>TXDot</w:t>
      </w:r>
      <w:proofErr w:type="spellEnd"/>
      <w:r>
        <w:rPr>
          <w:sz w:val="18"/>
        </w:rPr>
        <w:t>,</w:t>
      </w:r>
      <w:r>
        <w:rPr>
          <w:spacing w:val="-8"/>
          <w:sz w:val="18"/>
        </w:rPr>
        <w:t xml:space="preserve"> </w:t>
      </w:r>
      <w:r>
        <w:rPr>
          <w:sz w:val="18"/>
        </w:rPr>
        <w:t>or</w:t>
      </w:r>
      <w:r>
        <w:rPr>
          <w:spacing w:val="-9"/>
          <w:sz w:val="18"/>
        </w:rPr>
        <w:t xml:space="preserve"> </w:t>
      </w:r>
      <w:r>
        <w:rPr>
          <w:sz w:val="18"/>
        </w:rPr>
        <w:t>other</w:t>
      </w:r>
      <w:r>
        <w:rPr>
          <w:spacing w:val="-8"/>
          <w:sz w:val="18"/>
        </w:rPr>
        <w:t xml:space="preserve"> </w:t>
      </w:r>
      <w:r>
        <w:rPr>
          <w:sz w:val="18"/>
        </w:rPr>
        <w:t>government</w:t>
      </w:r>
      <w:r>
        <w:rPr>
          <w:spacing w:val="-11"/>
          <w:sz w:val="18"/>
        </w:rPr>
        <w:t xml:space="preserve"> </w:t>
      </w:r>
      <w:r>
        <w:rPr>
          <w:sz w:val="18"/>
        </w:rPr>
        <w:t>entity.</w:t>
      </w:r>
      <w:r>
        <w:rPr>
          <w:spacing w:val="-8"/>
          <w:sz w:val="18"/>
        </w:rPr>
        <w:t xml:space="preserve"> </w:t>
      </w:r>
      <w:r>
        <w:rPr>
          <w:sz w:val="18"/>
        </w:rPr>
        <w:t>PEC</w:t>
      </w:r>
      <w:r>
        <w:rPr>
          <w:spacing w:val="-9"/>
          <w:sz w:val="18"/>
        </w:rPr>
        <w:t xml:space="preserve"> </w:t>
      </w:r>
      <w:r>
        <w:rPr>
          <w:sz w:val="18"/>
        </w:rPr>
        <w:t>reserves</w:t>
      </w:r>
      <w:r>
        <w:rPr>
          <w:spacing w:val="-8"/>
          <w:sz w:val="18"/>
        </w:rPr>
        <w:t xml:space="preserve"> </w:t>
      </w:r>
      <w:r>
        <w:rPr>
          <w:sz w:val="18"/>
        </w:rPr>
        <w:t>the</w:t>
      </w:r>
      <w:r>
        <w:rPr>
          <w:spacing w:val="-10"/>
          <w:sz w:val="18"/>
        </w:rPr>
        <w:t xml:space="preserve"> </w:t>
      </w:r>
      <w:r>
        <w:rPr>
          <w:sz w:val="18"/>
        </w:rPr>
        <w:t>right</w:t>
      </w:r>
      <w:r>
        <w:rPr>
          <w:spacing w:val="-9"/>
          <w:sz w:val="18"/>
        </w:rPr>
        <w:t xml:space="preserve"> </w:t>
      </w:r>
      <w:r>
        <w:rPr>
          <w:sz w:val="18"/>
        </w:rPr>
        <w:t>to</w:t>
      </w:r>
      <w:r>
        <w:rPr>
          <w:spacing w:val="-8"/>
          <w:sz w:val="18"/>
        </w:rPr>
        <w:t xml:space="preserve"> </w:t>
      </w:r>
      <w:r>
        <w:rPr>
          <w:sz w:val="18"/>
        </w:rPr>
        <w:t>remove</w:t>
      </w:r>
      <w:r>
        <w:rPr>
          <w:spacing w:val="-9"/>
          <w:sz w:val="18"/>
        </w:rPr>
        <w:t xml:space="preserve"> </w:t>
      </w:r>
      <w:r>
        <w:rPr>
          <w:sz w:val="18"/>
        </w:rPr>
        <w:t>any</w:t>
      </w:r>
      <w:r>
        <w:rPr>
          <w:spacing w:val="-14"/>
          <w:sz w:val="18"/>
        </w:rPr>
        <w:t xml:space="preserve"> </w:t>
      </w:r>
      <w:r>
        <w:rPr>
          <w:sz w:val="18"/>
        </w:rPr>
        <w:t>Wireline</w:t>
      </w:r>
      <w:r>
        <w:rPr>
          <w:spacing w:val="-10"/>
          <w:sz w:val="18"/>
        </w:rPr>
        <w:t xml:space="preserve"> </w:t>
      </w:r>
      <w:r>
        <w:rPr>
          <w:sz w:val="18"/>
        </w:rPr>
        <w:t>Attachment</w:t>
      </w:r>
      <w:r>
        <w:rPr>
          <w:spacing w:val="-9"/>
          <w:sz w:val="18"/>
        </w:rPr>
        <w:t xml:space="preserve"> </w:t>
      </w:r>
      <w:r>
        <w:rPr>
          <w:sz w:val="18"/>
        </w:rPr>
        <w:t>or</w:t>
      </w:r>
      <w:r>
        <w:rPr>
          <w:spacing w:val="-13"/>
          <w:sz w:val="18"/>
        </w:rPr>
        <w:t xml:space="preserve"> </w:t>
      </w:r>
      <w:r>
        <w:rPr>
          <w:sz w:val="18"/>
        </w:rPr>
        <w:t>Wireless Installation, at the Attaching Entity’s expense without liability to PEC if the owner fails to relocate its</w:t>
      </w:r>
      <w:r>
        <w:rPr>
          <w:spacing w:val="-35"/>
          <w:sz w:val="18"/>
        </w:rPr>
        <w:t xml:space="preserve"> </w:t>
      </w:r>
      <w:r>
        <w:rPr>
          <w:sz w:val="18"/>
        </w:rPr>
        <w:t>facilities.</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2"/>
        <w:gridCol w:w="4578"/>
        <w:gridCol w:w="2480"/>
      </w:tblGrid>
      <w:tr w:rsidR="008F4C22" w:rsidTr="008F4C22">
        <w:trPr>
          <w:trHeight w:val="534"/>
        </w:trPr>
        <w:tc>
          <w:tcPr>
            <w:tcW w:w="2012" w:type="dxa"/>
            <w:shd w:val="clear" w:color="auto" w:fill="365F91"/>
          </w:tcPr>
          <w:p w:rsidR="008F4C22" w:rsidRDefault="008F4C22" w:rsidP="006872CE">
            <w:pPr>
              <w:pStyle w:val="TableParagraph"/>
              <w:spacing w:line="206" w:lineRule="exact"/>
              <w:ind w:left="107"/>
              <w:rPr>
                <w:sz w:val="18"/>
              </w:rPr>
            </w:pPr>
            <w:r>
              <w:rPr>
                <w:color w:val="FFFFFF"/>
                <w:sz w:val="18"/>
              </w:rPr>
              <w:t>WO #</w:t>
            </w:r>
          </w:p>
        </w:tc>
        <w:tc>
          <w:tcPr>
            <w:tcW w:w="4578" w:type="dxa"/>
            <w:shd w:val="clear" w:color="auto" w:fill="365F91"/>
          </w:tcPr>
          <w:p w:rsidR="008F4C22" w:rsidRDefault="008F4C22" w:rsidP="006872CE">
            <w:pPr>
              <w:pStyle w:val="TableParagraph"/>
              <w:spacing w:line="206" w:lineRule="exact"/>
              <w:ind w:left="109"/>
              <w:rPr>
                <w:sz w:val="18"/>
              </w:rPr>
            </w:pPr>
            <w:r>
              <w:rPr>
                <w:color w:val="FFFFFF"/>
                <w:sz w:val="18"/>
              </w:rPr>
              <w:t>Project Name</w:t>
            </w:r>
          </w:p>
        </w:tc>
        <w:tc>
          <w:tcPr>
            <w:tcW w:w="2480" w:type="dxa"/>
            <w:shd w:val="clear" w:color="auto" w:fill="365F91"/>
          </w:tcPr>
          <w:p w:rsidR="008F4C22" w:rsidRDefault="008F4C22" w:rsidP="006872CE">
            <w:pPr>
              <w:pStyle w:val="TableParagraph"/>
              <w:spacing w:line="206" w:lineRule="exact"/>
              <w:ind w:left="107"/>
              <w:rPr>
                <w:sz w:val="18"/>
              </w:rPr>
            </w:pPr>
            <w:r>
              <w:rPr>
                <w:color w:val="FFFFFF"/>
                <w:sz w:val="18"/>
              </w:rPr>
              <w:t>Remove by Date</w:t>
            </w:r>
          </w:p>
        </w:tc>
      </w:tr>
      <w:tr w:rsidR="008F4C22" w:rsidTr="008F4C22">
        <w:trPr>
          <w:trHeight w:val="534"/>
        </w:trPr>
        <w:tc>
          <w:tcPr>
            <w:tcW w:w="2012" w:type="dxa"/>
          </w:tcPr>
          <w:p w:rsidR="008F4C22" w:rsidRDefault="008F4C22" w:rsidP="006872CE">
            <w:pPr>
              <w:pStyle w:val="TableParagraph"/>
              <w:rPr>
                <w:rFonts w:ascii="Times New Roman"/>
                <w:sz w:val="18"/>
              </w:rPr>
            </w:pPr>
          </w:p>
        </w:tc>
        <w:tc>
          <w:tcPr>
            <w:tcW w:w="4578" w:type="dxa"/>
          </w:tcPr>
          <w:p w:rsidR="008F4C22" w:rsidRDefault="008F4C22" w:rsidP="006872CE">
            <w:pPr>
              <w:pStyle w:val="TableParagraph"/>
              <w:rPr>
                <w:rFonts w:ascii="Times New Roman"/>
                <w:sz w:val="18"/>
              </w:rPr>
            </w:pPr>
          </w:p>
        </w:tc>
        <w:tc>
          <w:tcPr>
            <w:tcW w:w="2480" w:type="dxa"/>
          </w:tcPr>
          <w:p w:rsidR="008F4C22" w:rsidRDefault="008F4C22" w:rsidP="006872CE">
            <w:pPr>
              <w:pStyle w:val="TableParagraph"/>
              <w:rPr>
                <w:rFonts w:ascii="Times New Roman"/>
                <w:sz w:val="18"/>
              </w:rPr>
            </w:pPr>
          </w:p>
        </w:tc>
      </w:tr>
      <w:tr w:rsidR="008F4C22" w:rsidTr="008F4C22">
        <w:trPr>
          <w:trHeight w:val="535"/>
        </w:trPr>
        <w:tc>
          <w:tcPr>
            <w:tcW w:w="2012" w:type="dxa"/>
          </w:tcPr>
          <w:p w:rsidR="008F4C22" w:rsidRDefault="008F4C22" w:rsidP="006872CE">
            <w:pPr>
              <w:pStyle w:val="TableParagraph"/>
              <w:rPr>
                <w:rFonts w:ascii="Times New Roman"/>
                <w:sz w:val="18"/>
              </w:rPr>
            </w:pPr>
          </w:p>
        </w:tc>
        <w:tc>
          <w:tcPr>
            <w:tcW w:w="4578" w:type="dxa"/>
          </w:tcPr>
          <w:p w:rsidR="008F4C22" w:rsidRDefault="008F4C22" w:rsidP="006872CE">
            <w:pPr>
              <w:pStyle w:val="TableParagraph"/>
              <w:rPr>
                <w:rFonts w:ascii="Times New Roman"/>
                <w:sz w:val="18"/>
              </w:rPr>
            </w:pPr>
          </w:p>
        </w:tc>
        <w:tc>
          <w:tcPr>
            <w:tcW w:w="2480" w:type="dxa"/>
          </w:tcPr>
          <w:p w:rsidR="008F4C22" w:rsidRDefault="008F4C22" w:rsidP="006872CE">
            <w:pPr>
              <w:pStyle w:val="TableParagraph"/>
              <w:rPr>
                <w:rFonts w:ascii="Times New Roman"/>
                <w:sz w:val="18"/>
              </w:rPr>
            </w:pPr>
          </w:p>
        </w:tc>
      </w:tr>
      <w:tr w:rsidR="008F4C22" w:rsidTr="008F4C22">
        <w:trPr>
          <w:trHeight w:val="537"/>
        </w:trPr>
        <w:tc>
          <w:tcPr>
            <w:tcW w:w="2012" w:type="dxa"/>
          </w:tcPr>
          <w:p w:rsidR="008F4C22" w:rsidRDefault="008F4C22" w:rsidP="006872CE">
            <w:pPr>
              <w:pStyle w:val="TableParagraph"/>
              <w:rPr>
                <w:rFonts w:ascii="Times New Roman"/>
                <w:sz w:val="18"/>
              </w:rPr>
            </w:pPr>
          </w:p>
        </w:tc>
        <w:tc>
          <w:tcPr>
            <w:tcW w:w="4578" w:type="dxa"/>
          </w:tcPr>
          <w:p w:rsidR="008F4C22" w:rsidRDefault="008F4C22" w:rsidP="006872CE">
            <w:pPr>
              <w:pStyle w:val="TableParagraph"/>
              <w:rPr>
                <w:rFonts w:ascii="Times New Roman"/>
                <w:sz w:val="18"/>
              </w:rPr>
            </w:pPr>
          </w:p>
        </w:tc>
        <w:tc>
          <w:tcPr>
            <w:tcW w:w="2480" w:type="dxa"/>
          </w:tcPr>
          <w:p w:rsidR="008F4C22" w:rsidRDefault="008F4C22" w:rsidP="006872CE">
            <w:pPr>
              <w:pStyle w:val="TableParagraph"/>
              <w:rPr>
                <w:rFonts w:ascii="Times New Roman"/>
                <w:sz w:val="18"/>
              </w:rPr>
            </w:pPr>
          </w:p>
        </w:tc>
      </w:tr>
      <w:tr w:rsidR="008F4C22" w:rsidTr="008F4C22">
        <w:trPr>
          <w:trHeight w:val="534"/>
        </w:trPr>
        <w:tc>
          <w:tcPr>
            <w:tcW w:w="2012" w:type="dxa"/>
          </w:tcPr>
          <w:p w:rsidR="008F4C22" w:rsidRDefault="008F4C22" w:rsidP="006872CE">
            <w:pPr>
              <w:pStyle w:val="TableParagraph"/>
              <w:rPr>
                <w:rFonts w:ascii="Times New Roman"/>
                <w:sz w:val="18"/>
              </w:rPr>
            </w:pPr>
          </w:p>
        </w:tc>
        <w:tc>
          <w:tcPr>
            <w:tcW w:w="4578" w:type="dxa"/>
          </w:tcPr>
          <w:p w:rsidR="008F4C22" w:rsidRDefault="008F4C22" w:rsidP="006872CE">
            <w:pPr>
              <w:pStyle w:val="TableParagraph"/>
              <w:rPr>
                <w:rFonts w:ascii="Times New Roman"/>
                <w:sz w:val="18"/>
              </w:rPr>
            </w:pPr>
          </w:p>
        </w:tc>
        <w:tc>
          <w:tcPr>
            <w:tcW w:w="2480" w:type="dxa"/>
          </w:tcPr>
          <w:p w:rsidR="008F4C22" w:rsidRDefault="008F4C22" w:rsidP="006872CE">
            <w:pPr>
              <w:pStyle w:val="TableParagraph"/>
              <w:rPr>
                <w:rFonts w:ascii="Times New Roman"/>
                <w:sz w:val="18"/>
              </w:rPr>
            </w:pPr>
          </w:p>
        </w:tc>
      </w:tr>
    </w:tbl>
    <w:p w:rsidR="008F4C22" w:rsidRDefault="008F4C22" w:rsidP="008F4C22">
      <w:pPr>
        <w:tabs>
          <w:tab w:val="left" w:pos="10625"/>
        </w:tabs>
        <w:spacing w:line="360" w:lineRule="auto"/>
        <w:ind w:left="1698" w:right="-378" w:firstLine="19"/>
        <w:jc w:val="both"/>
        <w:rPr>
          <w:sz w:val="18"/>
        </w:rPr>
      </w:pPr>
    </w:p>
    <w:p w:rsidR="008F4C22" w:rsidRDefault="008F4C22" w:rsidP="008F4C22">
      <w:pPr>
        <w:tabs>
          <w:tab w:val="left" w:pos="10625"/>
        </w:tabs>
        <w:spacing w:line="360" w:lineRule="auto"/>
        <w:ind w:left="630" w:right="-378"/>
        <w:jc w:val="both"/>
        <w:rPr>
          <w:sz w:val="18"/>
        </w:rPr>
      </w:pPr>
      <w:r>
        <w:rPr>
          <w:sz w:val="18"/>
        </w:rPr>
        <w:t>Pursuant to Section III.B.4 of the Standards, you are hereby given notice that you are required to remove the above referenced facilities within (45) days of issuance of this Notice to Remove Attachments. Failure to remove attachments</w:t>
      </w:r>
      <w:r>
        <w:rPr>
          <w:spacing w:val="9"/>
          <w:sz w:val="18"/>
        </w:rPr>
        <w:t xml:space="preserve"> </w:t>
      </w:r>
      <w:proofErr w:type="gramStart"/>
      <w:r>
        <w:rPr>
          <w:sz w:val="18"/>
        </w:rPr>
        <w:t>within</w:t>
      </w:r>
      <w:proofErr w:type="gramEnd"/>
      <w:r>
        <w:rPr>
          <w:spacing w:val="8"/>
          <w:sz w:val="18"/>
        </w:rPr>
        <w:t xml:space="preserve"> </w:t>
      </w:r>
      <w:r>
        <w:rPr>
          <w:sz w:val="18"/>
        </w:rPr>
        <w:t>(45)</w:t>
      </w:r>
      <w:r>
        <w:rPr>
          <w:spacing w:val="7"/>
          <w:sz w:val="18"/>
        </w:rPr>
        <w:t xml:space="preserve"> </w:t>
      </w:r>
      <w:r>
        <w:rPr>
          <w:sz w:val="18"/>
        </w:rPr>
        <w:t>days</w:t>
      </w:r>
      <w:r>
        <w:rPr>
          <w:spacing w:val="6"/>
          <w:sz w:val="18"/>
        </w:rPr>
        <w:t xml:space="preserve"> </w:t>
      </w:r>
      <w:r>
        <w:rPr>
          <w:sz w:val="18"/>
        </w:rPr>
        <w:t>of</w:t>
      </w:r>
      <w:r>
        <w:rPr>
          <w:spacing w:val="8"/>
          <w:sz w:val="18"/>
        </w:rPr>
        <w:t xml:space="preserve"> </w:t>
      </w:r>
      <w:r>
        <w:rPr>
          <w:sz w:val="18"/>
        </w:rPr>
        <w:t>issuance</w:t>
      </w:r>
      <w:r>
        <w:rPr>
          <w:spacing w:val="5"/>
          <w:sz w:val="18"/>
        </w:rPr>
        <w:t xml:space="preserve"> </w:t>
      </w:r>
      <w:r>
        <w:rPr>
          <w:sz w:val="18"/>
        </w:rPr>
        <w:t>of</w:t>
      </w:r>
      <w:r>
        <w:rPr>
          <w:spacing w:val="9"/>
          <w:sz w:val="18"/>
        </w:rPr>
        <w:t xml:space="preserve"> </w:t>
      </w:r>
      <w:r>
        <w:rPr>
          <w:sz w:val="18"/>
        </w:rPr>
        <w:t>this</w:t>
      </w:r>
      <w:r>
        <w:rPr>
          <w:spacing w:val="8"/>
          <w:sz w:val="18"/>
        </w:rPr>
        <w:t xml:space="preserve"> </w:t>
      </w:r>
      <w:r>
        <w:rPr>
          <w:sz w:val="18"/>
        </w:rPr>
        <w:t>Notice</w:t>
      </w:r>
      <w:r>
        <w:rPr>
          <w:spacing w:val="8"/>
          <w:sz w:val="18"/>
        </w:rPr>
        <w:t xml:space="preserve"> </w:t>
      </w:r>
      <w:r>
        <w:rPr>
          <w:sz w:val="18"/>
        </w:rPr>
        <w:t>to</w:t>
      </w:r>
      <w:r>
        <w:rPr>
          <w:spacing w:val="8"/>
          <w:sz w:val="18"/>
        </w:rPr>
        <w:t xml:space="preserve"> </w:t>
      </w:r>
      <w:r>
        <w:rPr>
          <w:sz w:val="18"/>
        </w:rPr>
        <w:t>Remove</w:t>
      </w:r>
      <w:r>
        <w:rPr>
          <w:spacing w:val="8"/>
          <w:sz w:val="18"/>
        </w:rPr>
        <w:t xml:space="preserve"> </w:t>
      </w:r>
      <w:r>
        <w:rPr>
          <w:sz w:val="18"/>
        </w:rPr>
        <w:t>Attachments</w:t>
      </w:r>
      <w:r>
        <w:rPr>
          <w:spacing w:val="8"/>
          <w:sz w:val="18"/>
        </w:rPr>
        <w:t xml:space="preserve"> </w:t>
      </w:r>
      <w:r>
        <w:rPr>
          <w:sz w:val="18"/>
        </w:rPr>
        <w:t>will</w:t>
      </w:r>
      <w:r>
        <w:rPr>
          <w:spacing w:val="8"/>
          <w:sz w:val="18"/>
        </w:rPr>
        <w:t xml:space="preserve"> </w:t>
      </w:r>
      <w:r>
        <w:rPr>
          <w:sz w:val="18"/>
        </w:rPr>
        <w:t>be</w:t>
      </w:r>
      <w:r>
        <w:rPr>
          <w:spacing w:val="6"/>
          <w:sz w:val="18"/>
        </w:rPr>
        <w:t xml:space="preserve"> </w:t>
      </w:r>
      <w:r>
        <w:rPr>
          <w:sz w:val="18"/>
        </w:rPr>
        <w:t>subject</w:t>
      </w:r>
      <w:r>
        <w:rPr>
          <w:spacing w:val="10"/>
          <w:sz w:val="18"/>
        </w:rPr>
        <w:t xml:space="preserve"> </w:t>
      </w:r>
      <w:r>
        <w:rPr>
          <w:sz w:val="18"/>
          <w:u w:val="single"/>
        </w:rPr>
        <w:t xml:space="preserve"> </w:t>
      </w:r>
      <w:r>
        <w:rPr>
          <w:sz w:val="18"/>
        </w:rPr>
        <w:t xml:space="preserve"> (attaching entity) to enforcement actions and other remedies available to PEC under the Pole Attachment Contract or the</w:t>
      </w:r>
      <w:r>
        <w:rPr>
          <w:spacing w:val="-1"/>
          <w:sz w:val="18"/>
        </w:rPr>
        <w:t xml:space="preserve"> </w:t>
      </w:r>
      <w:r>
        <w:rPr>
          <w:sz w:val="18"/>
        </w:rPr>
        <w:t>Standards.</w:t>
      </w:r>
    </w:p>
    <w:p w:rsidR="008F4C22" w:rsidRDefault="008F4C22" w:rsidP="008F4C22">
      <w:pPr>
        <w:ind w:left="630" w:right="-378"/>
        <w:rPr>
          <w:b/>
          <w:i/>
          <w:sz w:val="18"/>
        </w:rPr>
      </w:pPr>
      <w:r>
        <w:rPr>
          <w:b/>
          <w:i/>
          <w:sz w:val="18"/>
        </w:rPr>
        <w:t>Inquires related to this Notice shall be made to:</w:t>
      </w:r>
    </w:p>
    <w:p w:rsidR="008F4C22" w:rsidRDefault="008F4C22" w:rsidP="008F4C22">
      <w:pPr>
        <w:ind w:left="630" w:right="-378"/>
        <w:rPr>
          <w:b/>
          <w:i/>
          <w:sz w:val="18"/>
        </w:rPr>
      </w:pPr>
      <w:r>
        <w:rPr>
          <w:b/>
          <w:i/>
          <w:sz w:val="18"/>
        </w:rPr>
        <w:t xml:space="preserve"> Melody A. Horton</w:t>
      </w:r>
    </w:p>
    <w:p w:rsidR="008F4C22" w:rsidRDefault="008F4C22" w:rsidP="008F4C22">
      <w:pPr>
        <w:ind w:left="630" w:right="-378"/>
        <w:rPr>
          <w:b/>
          <w:i/>
          <w:sz w:val="18"/>
        </w:rPr>
      </w:pPr>
      <w:r>
        <w:rPr>
          <w:b/>
          <w:i/>
          <w:sz w:val="18"/>
        </w:rPr>
        <w:t xml:space="preserve">Pole Contact Manager </w:t>
      </w:r>
      <w:proofErr w:type="spellStart"/>
      <w:r>
        <w:rPr>
          <w:b/>
          <w:i/>
          <w:sz w:val="18"/>
        </w:rPr>
        <w:t>Pedernales</w:t>
      </w:r>
      <w:proofErr w:type="spellEnd"/>
      <w:r>
        <w:rPr>
          <w:b/>
          <w:i/>
          <w:sz w:val="18"/>
        </w:rPr>
        <w:t xml:space="preserve"> Electric Cooperative</w:t>
      </w:r>
    </w:p>
    <w:p w:rsidR="008F4C22" w:rsidRDefault="008F4C22" w:rsidP="008F4C22">
      <w:pPr>
        <w:spacing w:line="205" w:lineRule="exact"/>
        <w:ind w:left="630" w:right="-378"/>
        <w:rPr>
          <w:b/>
          <w:i/>
          <w:sz w:val="18"/>
        </w:rPr>
      </w:pPr>
      <w:r>
        <w:rPr>
          <w:b/>
          <w:i/>
          <w:sz w:val="18"/>
        </w:rPr>
        <w:t>P.O. Box 1, Johnson City, TX 78636.</w:t>
      </w:r>
    </w:p>
    <w:p w:rsidR="008F4C22" w:rsidRDefault="008F4C22" w:rsidP="008F4C22">
      <w:pPr>
        <w:spacing w:line="205" w:lineRule="exact"/>
        <w:ind w:left="1690" w:right="-378" w:hanging="970"/>
        <w:rPr>
          <w:b/>
          <w:sz w:val="18"/>
        </w:rPr>
      </w:pPr>
      <w:hyperlink r:id="rId4">
        <w:r w:rsidRPr="00461E84">
          <w:rPr>
            <w:b/>
            <w:color w:val="006FC0"/>
            <w:sz w:val="18"/>
            <w:u w:val="single" w:color="006FC0"/>
          </w:rPr>
          <w:t>melody.horton@peci.com</w:t>
        </w:r>
      </w:hyperlink>
    </w:p>
    <w:p w:rsidR="008F4C22" w:rsidRDefault="008F4C22" w:rsidP="008F4C22">
      <w:pPr>
        <w:spacing w:line="205" w:lineRule="exact"/>
        <w:rPr>
          <w:sz w:val="18"/>
        </w:rPr>
        <w:sectPr w:rsidR="008F4C22" w:rsidSect="00A0286A">
          <w:pgSz w:w="12240" w:h="15840"/>
          <w:pgMar w:top="1440" w:right="1440" w:bottom="1440" w:left="1008" w:header="726" w:footer="1196" w:gutter="0"/>
          <w:cols w:space="720"/>
        </w:sectPr>
      </w:pPr>
    </w:p>
    <w:p w:rsidR="00227DD1" w:rsidRDefault="00227DD1"/>
    <w:sectPr w:rsidR="00227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22"/>
    <w:rsid w:val="00227DD1"/>
    <w:rsid w:val="00572060"/>
    <w:rsid w:val="008F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09D25-73F3-417B-8711-47D7D40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22"/>
    <w:pPr>
      <w:widowControl w:val="0"/>
      <w:autoSpaceDE w:val="0"/>
      <w:autoSpaceDN w:val="0"/>
      <w:spacing w:after="120" w:line="276" w:lineRule="auto"/>
    </w:pPr>
    <w:rPr>
      <w:rFonts w:ascii="Arial" w:eastAsia="Arial" w:hAnsi="Arial" w:cs="Arial"/>
    </w:rPr>
  </w:style>
  <w:style w:type="paragraph" w:styleId="Heading2">
    <w:name w:val="heading 2"/>
    <w:basedOn w:val="Normal"/>
    <w:next w:val="Normal"/>
    <w:link w:val="Heading2Char"/>
    <w:uiPriority w:val="9"/>
    <w:semiHidden/>
    <w:unhideWhenUsed/>
    <w:qFormat/>
    <w:rsid w:val="008F4C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F4C22"/>
    <w:pPr>
      <w:spacing w:line="360" w:lineRule="auto"/>
      <w:jc w:val="both"/>
    </w:pPr>
    <w:rPr>
      <w:sz w:val="24"/>
      <w:szCs w:val="24"/>
    </w:rPr>
  </w:style>
  <w:style w:type="character" w:customStyle="1" w:styleId="BodyTextChar">
    <w:name w:val="Body Text Char"/>
    <w:basedOn w:val="DefaultParagraphFont"/>
    <w:link w:val="BodyText"/>
    <w:uiPriority w:val="1"/>
    <w:rsid w:val="008F4C22"/>
    <w:rPr>
      <w:rFonts w:ascii="Arial" w:eastAsia="Arial" w:hAnsi="Arial" w:cs="Arial"/>
      <w:sz w:val="24"/>
      <w:szCs w:val="24"/>
    </w:rPr>
  </w:style>
  <w:style w:type="paragraph" w:customStyle="1" w:styleId="AppendixStyle">
    <w:name w:val="Appendix Style"/>
    <w:basedOn w:val="Heading2"/>
    <w:link w:val="AppendixStyleChar"/>
    <w:qFormat/>
    <w:rsid w:val="008F4C22"/>
    <w:pPr>
      <w:keepNext w:val="0"/>
      <w:keepLines w:val="0"/>
      <w:spacing w:before="88" w:after="120"/>
      <w:ind w:left="720"/>
    </w:pPr>
    <w:rPr>
      <w:rFonts w:ascii="Arial" w:eastAsia="Arial" w:hAnsi="Arial" w:cs="Arial"/>
      <w:b/>
      <w:bCs/>
      <w:noProof/>
      <w:sz w:val="28"/>
      <w:szCs w:val="36"/>
    </w:rPr>
  </w:style>
  <w:style w:type="character" w:customStyle="1" w:styleId="AppendixStyleChar">
    <w:name w:val="Appendix Style Char"/>
    <w:basedOn w:val="Heading2Char"/>
    <w:link w:val="AppendixStyle"/>
    <w:rsid w:val="008F4C22"/>
    <w:rPr>
      <w:rFonts w:ascii="Arial" w:eastAsia="Arial" w:hAnsi="Arial" w:cs="Arial"/>
      <w:b/>
      <w:bCs/>
      <w:noProof/>
      <w:color w:val="2E74B5" w:themeColor="accent1" w:themeShade="BF"/>
      <w:sz w:val="28"/>
      <w:szCs w:val="36"/>
    </w:rPr>
  </w:style>
  <w:style w:type="character" w:customStyle="1" w:styleId="Heading2Char">
    <w:name w:val="Heading 2 Char"/>
    <w:basedOn w:val="DefaultParagraphFont"/>
    <w:link w:val="Heading2"/>
    <w:uiPriority w:val="9"/>
    <w:semiHidden/>
    <w:rsid w:val="008F4C22"/>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8F4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ody.horton@pe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Pedernales Electric Cooperative, Inc.</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Melody</dc:creator>
  <cp:keywords/>
  <dc:description/>
  <cp:lastModifiedBy>Horton, Melody</cp:lastModifiedBy>
  <cp:revision>3</cp:revision>
  <dcterms:created xsi:type="dcterms:W3CDTF">2020-12-28T17:51:00Z</dcterms:created>
  <dcterms:modified xsi:type="dcterms:W3CDTF">2020-12-28T17:54:00Z</dcterms:modified>
</cp:coreProperties>
</file>